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353" w:rsidRDefault="00FC4353" w:rsidP="00FC4353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РЕАЛИЗАЦИЯ МЕР ПОДДЕРЖКИ ПОСТРАДАВШИХ ОТРАСЛЕЙ И СУБЪЕКТОВ МАЛОГО И СРЕДНЕГО БИЗНЕСА</w:t>
      </w:r>
    </w:p>
    <w:p w:rsidR="00FC4353" w:rsidRDefault="00FC4353" w:rsidP="00FC43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0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proofErr w:type="gramStart"/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>ДЛЯ СУБЪЕКТОВ МСП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ПРЕДОСТАВЛЯЮТСЯ МЕРЫ Поддержки на основании Постановления Правительства Российской Федерации от 2 апреля 2020 г. № 409, протокола заседания правительственной комиссии по повышению устойчивости развития российской экономики от 25 марта 2020г. №4кв (список отдельных сфер деятельности, наиболее пострадавших в связи ухудшения ситуации в связи с распространением новой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коронавирусной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инфекции, для оказания первоочередной адресной поддержки).</w:t>
      </w:r>
      <w:proofErr w:type="gramEnd"/>
    </w:p>
    <w:p w:rsidR="00FC4353" w:rsidRDefault="00FC4353" w:rsidP="00FC435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Соответствие сферы деятельности</w:t>
      </w:r>
    </w:p>
    <w:tbl>
      <w:tblPr>
        <w:tblW w:w="10207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3119"/>
      </w:tblGrid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Сфера деятельности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ОКВЭД 2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Авиаперевозки, аэропортовая деятельность, автоперевозки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49.3, 49.4,51.1,51.21,52.23.1,52.23.11,52.23.12,52.23.13,52.23.19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Культура, организация досуга и развлечений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90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Физкультурно-оздоровительная деятельность и спорт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93,96.04,</w:t>
            </w:r>
            <w:r>
              <w:rPr>
                <w:rFonts w:ascii="Open Sans" w:eastAsia="Open Sans" w:hAnsi="Open Sans" w:cs="Open Sans"/>
                <w:sz w:val="24"/>
                <w:szCs w:val="24"/>
                <w:shd w:val="clear" w:color="auto" w:fill="DEEBF6"/>
              </w:rPr>
              <w:t>86.90.4</w:t>
            </w:r>
          </w:p>
        </w:tc>
      </w:tr>
      <w:tr w:rsidR="00FC4353" w:rsidTr="004177D4">
        <w:tc>
          <w:tcPr>
            <w:tcW w:w="7088" w:type="dxa"/>
            <w:shd w:val="clear" w:color="auto" w:fill="DEEBF6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Деятельность туристических агентств и прочих организация, предоставляющих услуги в сфере туризма</w:t>
            </w:r>
          </w:p>
        </w:tc>
        <w:tc>
          <w:tcPr>
            <w:tcW w:w="3119" w:type="dxa"/>
            <w:shd w:val="clear" w:color="auto" w:fill="DEEBF6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79</w:t>
            </w:r>
          </w:p>
        </w:tc>
      </w:tr>
      <w:tr w:rsidR="00FC4353" w:rsidTr="004177D4">
        <w:tc>
          <w:tcPr>
            <w:tcW w:w="7088" w:type="dxa"/>
            <w:shd w:val="clear" w:color="auto" w:fill="DEEBF6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Гостиничный бизнес</w:t>
            </w:r>
          </w:p>
        </w:tc>
        <w:tc>
          <w:tcPr>
            <w:tcW w:w="3119" w:type="dxa"/>
            <w:shd w:val="clear" w:color="auto" w:fill="DEEBF6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55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Общественное питание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56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Деятельность организаций дополнительного образования, негосударственных образовательных учреждений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85.41,88.91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Деятельность по организации конференций и выставок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82.3</w:t>
            </w:r>
          </w:p>
        </w:tc>
      </w:tr>
      <w:tr w:rsidR="00FC4353" w:rsidTr="004177D4">
        <w:tc>
          <w:tcPr>
            <w:tcW w:w="7088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  <w:tc>
          <w:tcPr>
            <w:tcW w:w="3119" w:type="dxa"/>
          </w:tcPr>
          <w:p w:rsidR="00FC4353" w:rsidRDefault="00FC4353" w:rsidP="004177D4">
            <w:pPr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95,96.01,96.02</w:t>
            </w:r>
          </w:p>
        </w:tc>
      </w:tr>
    </w:tbl>
    <w:p w:rsidR="00FC4353" w:rsidRDefault="00FC4353" w:rsidP="00FC4353">
      <w:pPr>
        <w:spacing w:after="0"/>
        <w:jc w:val="both"/>
        <w:rPr>
          <w:rFonts w:ascii="Open Sans" w:eastAsia="Open Sans" w:hAnsi="Open Sans" w:cs="Open Sans"/>
          <w:sz w:val="24"/>
          <w:szCs w:val="24"/>
        </w:rPr>
      </w:pPr>
    </w:p>
    <w:p w:rsidR="00FC4353" w:rsidRDefault="00FC4353" w:rsidP="00FC4353">
      <w:pPr>
        <w:spacing w:after="0"/>
        <w:jc w:val="both"/>
        <w:rPr>
          <w:color w:val="000000"/>
        </w:rPr>
      </w:pPr>
      <w:r>
        <w:rPr>
          <w:rFonts w:ascii="Open Sans" w:eastAsia="Open Sans" w:hAnsi="Open Sans" w:cs="Open Sans"/>
          <w:sz w:val="24"/>
          <w:szCs w:val="24"/>
        </w:rPr>
        <w:t xml:space="preserve">1.2. Субъект должен быть внесен в </w:t>
      </w:r>
      <w:hyperlink r:id="rId6">
        <w:r>
          <w:rPr>
            <w:rFonts w:ascii="Open Sans" w:eastAsia="Open Sans" w:hAnsi="Open Sans" w:cs="Open Sans"/>
            <w:sz w:val="24"/>
            <w:szCs w:val="24"/>
          </w:rPr>
          <w:t>единый реестр субъектов малого и среднего предпринимательства</w:t>
        </w:r>
      </w:hyperlink>
      <w:r>
        <w:rPr>
          <w:rFonts w:ascii="Open Sans" w:eastAsia="Open Sans" w:hAnsi="Open Sans" w:cs="Open Sans"/>
          <w:sz w:val="24"/>
          <w:szCs w:val="24"/>
        </w:rPr>
        <w:t xml:space="preserve"> (</w:t>
      </w:r>
      <w:hyperlink r:id="rId7">
        <w:r>
          <w:rPr>
            <w:color w:val="000000"/>
          </w:rPr>
          <w:t>https://rmsp.nalog.ru/</w:t>
        </w:r>
      </w:hyperlink>
      <w:r>
        <w:rPr>
          <w:color w:val="000000"/>
        </w:rPr>
        <w:t xml:space="preserve">, </w:t>
      </w:r>
      <w:hyperlink r:id="rId8">
        <w:r>
          <w:rPr>
            <w:color w:val="000000"/>
          </w:rPr>
          <w:t>https://www.nalog.ru/</w:t>
        </w:r>
      </w:hyperlink>
      <w:r>
        <w:rPr>
          <w:color w:val="000000"/>
        </w:rPr>
        <w:t>)</w:t>
      </w:r>
    </w:p>
    <w:p w:rsidR="00FC4353" w:rsidRDefault="00FC4353" w:rsidP="00FC4353">
      <w:pPr>
        <w:pBdr>
          <w:top w:val="nil"/>
          <w:left w:val="nil"/>
          <w:bottom w:val="nil"/>
          <w:right w:val="nil"/>
          <w:between w:val="nil"/>
        </w:pBdr>
        <w:spacing w:after="30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1.3. Налогоплательщикам не требуется дополнительно подавать заявления </w:t>
      </w:r>
    </w:p>
    <w:p w:rsidR="00FC4353" w:rsidRDefault="00FC4353" w:rsidP="00FC43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2. </w:t>
      </w:r>
      <w:r>
        <w:rPr>
          <w:rFonts w:ascii="Open Sans" w:eastAsia="Open Sans" w:hAnsi="Open Sans" w:cs="Open Sans"/>
          <w:b/>
          <w:color w:val="000000"/>
          <w:sz w:val="24"/>
          <w:szCs w:val="24"/>
          <w:u w:val="single"/>
        </w:rPr>
        <w:t>ДЛЯ КРУПНЫХ ПРЕДПРИЯТИЙ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(одно из условий за предшествующий календарный год: выручка более 2 млрд. рублей и (или) среднесписочная численность работников превышает 250 человек) ПРЕДОСТАВЛЯЮТСЯ МЕРЫ Поддержки  на основании Постановления главы администрации (Губернатора) Краснодарского края от 8 апреля 2020 г. № 202 (по перечню организаций).</w:t>
      </w:r>
    </w:p>
    <w:p w:rsidR="00FC4353" w:rsidRDefault="00FC4353" w:rsidP="00FC43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</w:p>
    <w:p w:rsidR="00FC4353" w:rsidRDefault="00FC4353" w:rsidP="00FC43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2.1. Меры не распространяются на предприятия в стадии ликвидации/банкротства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3"/>
        <w:gridCol w:w="6521"/>
      </w:tblGrid>
      <w:tr w:rsidR="00FC4353" w:rsidTr="004177D4">
        <w:trPr>
          <w:trHeight w:val="5661"/>
        </w:trPr>
        <w:tc>
          <w:tcPr>
            <w:tcW w:w="3403" w:type="dxa"/>
          </w:tcPr>
          <w:p w:rsidR="00FC4353" w:rsidRDefault="00FC4353" w:rsidP="004177D4">
            <w:pPr>
              <w:pStyle w:val="2"/>
              <w:pBdr>
                <w:bottom w:val="single" w:sz="48" w:space="4" w:color="0066B3"/>
              </w:pBdr>
              <w:spacing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lastRenderedPageBreak/>
              <w:t xml:space="preserve">ПЕРЕНОС СРОКОВ УПЛАТЫ НАЛОГОВ И СТРАХОВЫХ ВЗНОСОВ </w:t>
            </w:r>
          </w:p>
          <w:p w:rsidR="00FC4353" w:rsidRDefault="00FC4353" w:rsidP="004177D4">
            <w:pPr>
              <w:pStyle w:val="2"/>
              <w:pBdr>
                <w:bottom w:val="single" w:sz="48" w:space="4" w:color="0066B3"/>
              </w:pBdr>
              <w:spacing w:before="280"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t>СУБЪЕКТЫ МСП</w:t>
            </w:r>
          </w:p>
          <w:p w:rsidR="00FC4353" w:rsidRDefault="00FC4353" w:rsidP="004177D4">
            <w:pPr>
              <w:tabs>
                <w:tab w:val="left" w:pos="2980"/>
              </w:tabs>
            </w:pPr>
            <w:r>
              <w:tab/>
            </w:r>
          </w:p>
          <w:p w:rsidR="00FC4353" w:rsidRDefault="00FC4353" w:rsidP="004177D4">
            <w:pPr>
              <w:rPr>
                <w:smallCaps/>
                <w:sz w:val="24"/>
                <w:szCs w:val="24"/>
              </w:rPr>
            </w:pPr>
            <w:proofErr w:type="gramStart"/>
            <w:r>
              <w:rPr>
                <w:smallCaps/>
                <w:sz w:val="24"/>
                <w:szCs w:val="24"/>
              </w:rPr>
              <w:t xml:space="preserve">(ДЛЯ ОРГАНИЗАЦИЙ </w:t>
            </w:r>
            <w:proofErr w:type="gramEnd"/>
          </w:p>
          <w:p w:rsidR="00FC4353" w:rsidRDefault="00FC4353" w:rsidP="004177D4">
            <w:pPr>
              <w:tabs>
                <w:tab w:val="left" w:pos="2980"/>
              </w:tabs>
            </w:pPr>
            <w:proofErr w:type="gramStart"/>
            <w:r>
              <w:rPr>
                <w:smallCaps/>
                <w:sz w:val="24"/>
                <w:szCs w:val="24"/>
              </w:rPr>
              <w:t>И ИНДИВИДУАЛЬНЫХ ПРЕДПРИНИМАТЕЛЕЙ)</w:t>
            </w:r>
            <w:proofErr w:type="gramEnd"/>
          </w:p>
        </w:tc>
        <w:tc>
          <w:tcPr>
            <w:tcW w:w="6521" w:type="dxa"/>
          </w:tcPr>
          <w:p w:rsidR="00FC4353" w:rsidRDefault="00FC4353" w:rsidP="004177D4">
            <w:pPr>
              <w:pStyle w:val="2"/>
              <w:spacing w:after="45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  <w:t>Налог на прибыль, УСН, ЕСХН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: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за 2019 год на 6 месяцев;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налоги (авансовые платежи по налогам) за март и 1 квартал 2020 года на 6 месяцев (Исключения: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НДС, НПД, НДФЛ, уплачиваемые через налогового агента. </w:t>
            </w:r>
            <w:proofErr w:type="gram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Для них срок не переносится).</w:t>
            </w:r>
            <w:proofErr w:type="gramEnd"/>
          </w:p>
          <w:p w:rsidR="00FC4353" w:rsidRDefault="00FC4353" w:rsidP="004177D4">
            <w:pPr>
              <w:pStyle w:val="2"/>
              <w:spacing w:before="280" w:after="45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  <w:t>Налог по патентной системе налогообложения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: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- срок </w:t>
            </w:r>
            <w:proofErr w:type="gram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уплаты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которого приходится - на 2 квартал 2020 года - на 4 месяца;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Налог (авансовый платеж по налогу) за апрель-июнь, полугодие (2 квартал) 2020 года - на 4 месяца (Исключения:</w:t>
            </w:r>
            <w:proofErr w:type="gram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НДС и НДФЛ, уплачиваемые через налогового агента. </w:t>
            </w:r>
            <w:proofErr w:type="gram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Для них срок не переносится)</w:t>
            </w:r>
            <w:proofErr w:type="gramEnd"/>
          </w:p>
          <w:p w:rsidR="00FC4353" w:rsidRDefault="00FC4353" w:rsidP="004177D4">
            <w:pPr>
              <w:pStyle w:val="2"/>
              <w:spacing w:before="280" w:after="45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  <w:t>НДФЛ для ИП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за 2019 год со сроком уплаты до 15 июля 2020 года - на 3 месяца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Авансовый платеж 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  <w:t>по транспортному налогу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  <w:t>налогу на имущество организаций и земельному налогу: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  <w:u w:val="single"/>
              </w:rPr>
              <w:t>-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за первый квартал 2020 года - до 30 октября 2020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за второй квартал 2020 года - до 30 декабря 2020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</w:tc>
      </w:tr>
      <w:tr w:rsidR="00FC4353" w:rsidTr="004177D4">
        <w:tc>
          <w:tcPr>
            <w:tcW w:w="3403" w:type="dxa"/>
          </w:tcPr>
          <w:p w:rsidR="00FC4353" w:rsidRDefault="00FC4353" w:rsidP="004177D4">
            <w:pPr>
              <w:pStyle w:val="2"/>
              <w:pBdr>
                <w:bottom w:val="single" w:sz="48" w:space="4" w:color="0066B3"/>
              </w:pBdr>
              <w:spacing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t xml:space="preserve">ПЕРЕНОС СРОКОВ УПЛАТЫ НАЛОГОВ И СТРАХОВЫХ ВЗНОСОВ </w:t>
            </w:r>
          </w:p>
          <w:p w:rsidR="00FC4353" w:rsidRDefault="00FC4353" w:rsidP="004177D4">
            <w:pPr>
              <w:pStyle w:val="2"/>
              <w:pBdr>
                <w:bottom w:val="single" w:sz="48" w:space="4" w:color="0066B3"/>
              </w:pBdr>
              <w:spacing w:before="280"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t>КРУПНЫЙ БИЗНЕС</w:t>
            </w:r>
          </w:p>
          <w:p w:rsidR="00FC4353" w:rsidRDefault="00FC4353" w:rsidP="004177D4">
            <w:pPr>
              <w:rPr>
                <w:smallCaps/>
                <w:sz w:val="38"/>
                <w:szCs w:val="38"/>
              </w:rPr>
            </w:pPr>
            <w:r>
              <w:rPr>
                <w:smallCaps/>
                <w:sz w:val="24"/>
                <w:szCs w:val="24"/>
              </w:rPr>
              <w:t>(ДЛЯ ОРГАНИЗАЦИЙ И ИНДИВИДУАЛЬНЫХ ПРЕДПРИНИМАТЕЛЕЙ)</w:t>
            </w:r>
          </w:p>
        </w:tc>
        <w:tc>
          <w:tcPr>
            <w:tcW w:w="6521" w:type="dxa"/>
          </w:tcPr>
          <w:p w:rsidR="00FC4353" w:rsidRDefault="00FC4353" w:rsidP="00FC4353">
            <w:pPr>
              <w:numPr>
                <w:ilvl w:val="0"/>
                <w:numId w:val="1"/>
              </w:numPr>
              <w:spacing w:after="150" w:line="240" w:lineRule="auto"/>
              <w:ind w:left="0"/>
            </w:pPr>
            <w:r>
              <w:rPr>
                <w:rFonts w:ascii="Open Sans" w:eastAsia="Open Sans" w:hAnsi="Open Sans" w:cs="Open Sans"/>
                <w:sz w:val="24"/>
                <w:szCs w:val="24"/>
                <w:u w:val="single"/>
              </w:rPr>
              <w:t>1) За 2019 год перенесен срок оплаты на 15 октября 2020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:</w:t>
            </w:r>
          </w:p>
          <w:p w:rsidR="00FC4353" w:rsidRDefault="00FC4353" w:rsidP="00FC4353">
            <w:pPr>
              <w:numPr>
                <w:ilvl w:val="0"/>
                <w:numId w:val="1"/>
              </w:numPr>
              <w:spacing w:after="150" w:line="240" w:lineRule="auto"/>
              <w:ind w:left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Налог на имущество </w:t>
            </w:r>
          </w:p>
          <w:p w:rsidR="00FC4353" w:rsidRDefault="00FC4353" w:rsidP="004177D4">
            <w:pPr>
              <w:shd w:val="clear" w:color="auto" w:fill="FFFFFF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Налог, предусмотренный специальным налоговым режимом </w:t>
            </w:r>
            <w:bookmarkStart w:id="0" w:name="gjdgxs" w:colFirst="0" w:colLast="0"/>
            <w:bookmarkEnd w:id="0"/>
            <w:r>
              <w:rPr>
                <w:rFonts w:ascii="Open Sans" w:eastAsia="Open Sans" w:hAnsi="Open Sans" w:cs="Open Sans"/>
                <w:sz w:val="24"/>
                <w:szCs w:val="24"/>
              </w:rPr>
              <w:t>(</w:t>
            </w:r>
            <w:bookmarkStart w:id="1" w:name="30j0zll" w:colFirst="0" w:colLast="0"/>
            <w:bookmarkEnd w:id="1"/>
            <w:r>
              <w:fldChar w:fldCharType="begin"/>
            </w:r>
            <w:r>
              <w:instrText xml:space="preserve"> HYPERLINK "http://www.consultant.ru/document/cons_doc_LAW_334736/d29da7b903e5cc351ee08a2f10414ccee3c12bad/" \l "dst103572" \h </w:instrText>
            </w:r>
            <w:r>
              <w:fldChar w:fldCharType="separate"/>
            </w:r>
            <w:r>
              <w:rPr>
                <w:rFonts w:ascii="Arial" w:eastAsia="Arial" w:hAnsi="Arial" w:cs="Arial"/>
                <w:color w:val="666699"/>
              </w:rPr>
              <w:t>упрощенная система налогообложения</w:t>
            </w:r>
            <w:r>
              <w:rPr>
                <w:rFonts w:ascii="Arial" w:eastAsia="Arial" w:hAnsi="Arial" w:cs="Arial"/>
                <w:color w:val="666699"/>
              </w:rPr>
              <w:fldChar w:fldCharType="end"/>
            </w:r>
            <w:bookmarkStart w:id="2" w:name="1fob9te" w:colFirst="0" w:colLast="0"/>
            <w:bookmarkEnd w:id="2"/>
            <w:r>
              <w:rPr>
                <w:rFonts w:ascii="Arial" w:eastAsia="Arial" w:hAnsi="Arial" w:cs="Arial"/>
                <w:color w:val="333333"/>
              </w:rPr>
              <w:t>)</w:t>
            </w:r>
          </w:p>
          <w:p w:rsidR="00FC4353" w:rsidRDefault="00FC4353" w:rsidP="004177D4">
            <w:pPr>
              <w:spacing w:before="280" w:after="15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u w:val="single"/>
              </w:rPr>
              <w:t>За 1 квартал 2020 года перенесен срок оплаты на 15 ноября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: </w:t>
            </w:r>
          </w:p>
          <w:p w:rsidR="00FC4353" w:rsidRDefault="00FC4353" w:rsidP="00FC4353">
            <w:pPr>
              <w:numPr>
                <w:ilvl w:val="0"/>
                <w:numId w:val="1"/>
              </w:numPr>
              <w:spacing w:before="280" w:after="150" w:line="240" w:lineRule="auto"/>
              <w:ind w:left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Налог на имущество </w:t>
            </w:r>
          </w:p>
          <w:p w:rsidR="00FC4353" w:rsidRDefault="00FC4353" w:rsidP="00FC4353">
            <w:pPr>
              <w:numPr>
                <w:ilvl w:val="0"/>
                <w:numId w:val="1"/>
              </w:numPr>
              <w:spacing w:after="150" w:line="240" w:lineRule="auto"/>
              <w:ind w:left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Транспортный налог</w:t>
            </w:r>
          </w:p>
          <w:p w:rsidR="00FC4353" w:rsidRDefault="00FC4353" w:rsidP="00FC4353">
            <w:pPr>
              <w:numPr>
                <w:ilvl w:val="0"/>
                <w:numId w:val="1"/>
              </w:numPr>
              <w:spacing w:after="150" w:line="240" w:lineRule="auto"/>
              <w:ind w:left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Земельный налог</w:t>
            </w:r>
          </w:p>
          <w:p w:rsidR="00FC4353" w:rsidRDefault="00FC4353" w:rsidP="004177D4">
            <w:pPr>
              <w:shd w:val="clear" w:color="auto" w:fill="FFFFFF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Налоги, предусмотренные специальными налоговыми режимами (</w:t>
            </w:r>
            <w:hyperlink r:id="rId9" w:anchor="dst103572">
              <w:r>
                <w:rPr>
                  <w:rFonts w:ascii="Arial" w:eastAsia="Arial" w:hAnsi="Arial" w:cs="Arial"/>
                  <w:color w:val="666699"/>
                </w:rPr>
                <w:t>упрощенная система налогообложения</w:t>
              </w:r>
            </w:hyperlink>
            <w:r>
              <w:rPr>
                <w:rFonts w:ascii="Arial" w:eastAsia="Arial" w:hAnsi="Arial" w:cs="Arial"/>
                <w:color w:val="333333"/>
              </w:rPr>
              <w:t>; система налогообложения в виде </w:t>
            </w:r>
            <w:hyperlink r:id="rId10" w:anchor="dst103723">
              <w:r>
                <w:rPr>
                  <w:rFonts w:ascii="Arial" w:eastAsia="Arial" w:hAnsi="Arial" w:cs="Arial"/>
                  <w:color w:val="666699"/>
                </w:rPr>
                <w:t>единого налога на вмененный доход</w:t>
              </w:r>
            </w:hyperlink>
            <w:r>
              <w:rPr>
                <w:rFonts w:ascii="Arial" w:eastAsia="Arial" w:hAnsi="Arial" w:cs="Arial"/>
                <w:color w:val="333333"/>
              </w:rPr>
              <w:t> для отдельных видов деятельности)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t>.</w:t>
            </w:r>
          </w:p>
          <w:p w:rsidR="00FC4353" w:rsidRDefault="00FC4353" w:rsidP="004177D4">
            <w:pPr>
              <w:shd w:val="clear" w:color="auto" w:fill="FFFFFF"/>
              <w:jc w:val="both"/>
              <w:rPr>
                <w:rFonts w:ascii="Open Sans" w:eastAsia="Open Sans" w:hAnsi="Open Sans" w:cs="Open Sans"/>
                <w:sz w:val="24"/>
                <w:szCs w:val="24"/>
              </w:rPr>
            </w:pPr>
          </w:p>
        </w:tc>
      </w:tr>
      <w:tr w:rsidR="00FC4353" w:rsidTr="004177D4">
        <w:tc>
          <w:tcPr>
            <w:tcW w:w="3403" w:type="dxa"/>
          </w:tcPr>
          <w:p w:rsidR="00FC4353" w:rsidRDefault="00FC4353" w:rsidP="004177D4">
            <w:pPr>
              <w:pStyle w:val="2"/>
              <w:spacing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t xml:space="preserve">ПЕРЕНОС СРОКОВ СДАЧИ </w:t>
            </w:r>
            <w:r>
              <w:rPr>
                <w:smallCaps/>
                <w:color w:val="000000"/>
                <w:sz w:val="38"/>
                <w:szCs w:val="38"/>
              </w:rPr>
              <w:lastRenderedPageBreak/>
              <w:t>ОТЧЕТНОСТИ</w:t>
            </w:r>
          </w:p>
        </w:tc>
        <w:tc>
          <w:tcPr>
            <w:tcW w:w="6521" w:type="dxa"/>
          </w:tcPr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lastRenderedPageBreak/>
              <w:t>Налоговые декларации по НДС за 1 квартал 2020 года - до 15 мая 2020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Расчеты по страховым взносам за 1 квартал 2020 года - до 15 мая 2020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Отчетность, которая должна быть сдана с марта по май 2020 года - на 3 месяца: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все налоговые декларации и расчеты по авансовым платежам (кроме НДС и расчетов по страховым взносам),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расчеты сумм НДФЛ (форма 6-НДФЛ),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налоговые расчеты о суммах выплаченных иностранным организациям доходов и удержанных налогов,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- бухгалтерская (финансовая) отчетность (для налогоплательщиков, сдающих годовую бухгалтерскую (финансовую) отчётность в соответствии с пп.5.1 п.1 ст.23 НК РФ).</w:t>
            </w:r>
          </w:p>
          <w:p w:rsidR="00FC4353" w:rsidRDefault="00FC4353" w:rsidP="004177D4">
            <w:pPr>
              <w:pStyle w:val="2"/>
              <w:spacing w:after="0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</w:p>
        </w:tc>
      </w:tr>
      <w:tr w:rsidR="00FC4353" w:rsidTr="004177D4">
        <w:tc>
          <w:tcPr>
            <w:tcW w:w="3403" w:type="dxa"/>
          </w:tcPr>
          <w:p w:rsidR="00FC4353" w:rsidRDefault="00FC4353" w:rsidP="004177D4">
            <w:pPr>
              <w:pStyle w:val="2"/>
              <w:spacing w:after="450"/>
              <w:rPr>
                <w:smallCaps/>
                <w:color w:val="000000"/>
                <w:sz w:val="38"/>
                <w:szCs w:val="38"/>
              </w:rPr>
            </w:pPr>
            <w:r>
              <w:rPr>
                <w:smallCaps/>
                <w:color w:val="000000"/>
                <w:sz w:val="38"/>
                <w:szCs w:val="38"/>
              </w:rPr>
              <w:lastRenderedPageBreak/>
              <w:t>ПРИОСТАНОВЛЕНИЕ ПРОВЕРОК</w:t>
            </w:r>
          </w:p>
        </w:tc>
        <w:tc>
          <w:tcPr>
            <w:tcW w:w="6521" w:type="dxa"/>
          </w:tcPr>
          <w:p w:rsidR="00FC4353" w:rsidRDefault="00FC4353" w:rsidP="004177D4">
            <w:pPr>
              <w:spacing w:after="30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До 1 мая 2020 года ФНС России </w:t>
            </w:r>
            <w:hyperlink r:id="rId11">
              <w:r>
                <w:rPr>
                  <w:rFonts w:ascii="Open Sans" w:eastAsia="Open Sans" w:hAnsi="Open Sans" w:cs="Open Sans"/>
                  <w:sz w:val="24"/>
                  <w:szCs w:val="24"/>
                </w:rPr>
                <w:t xml:space="preserve">приостанавливает </w:t>
              </w:r>
            </w:hyperlink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назначение выездных налоговых проверок. </w:t>
            </w:r>
          </w:p>
          <w:p w:rsidR="00FC4353" w:rsidRDefault="00FC4353" w:rsidP="004177D4">
            <w:pPr>
              <w:spacing w:before="280" w:after="30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Откладываются проверки пользователей онлайн-касс, а также контрольные мероприятия по соблюдению требований валютного законодательства и вопросам </w:t>
            </w:r>
            <w:proofErr w:type="spellStart"/>
            <w:r>
              <w:rPr>
                <w:rFonts w:ascii="Open Sans" w:eastAsia="Open Sans" w:hAnsi="Open Sans" w:cs="Open Sans"/>
                <w:sz w:val="24"/>
                <w:szCs w:val="24"/>
              </w:rPr>
              <w:t>госрегулируемых</w:t>
            </w:r>
            <w:proofErr w:type="spell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видов деятельности в области азартных игр и лотерей в отношении всех категорий налогоплательщиков, в том числе малого и среднего бизнеса. </w:t>
            </w:r>
          </w:p>
          <w:p w:rsidR="00FC4353" w:rsidRDefault="00FC4353" w:rsidP="004177D4">
            <w:pPr>
              <w:spacing w:before="280" w:after="30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Выездные проверки, начатые ранее, также приостановлены. Незавершенные проверки применения ККТ и валютного законодательства, а также незаконченное производство по делам об административных правонарушениях будет осуществляться без непосредственного контакта с налогоплательщиками - по телекоммуникационным каналам связи, через личный кабинет налогоплательщика, по почте.</w:t>
            </w:r>
          </w:p>
        </w:tc>
      </w:tr>
      <w:tr w:rsidR="00FC4353" w:rsidTr="004177D4">
        <w:tc>
          <w:tcPr>
            <w:tcW w:w="3403" w:type="dxa"/>
          </w:tcPr>
          <w:p w:rsidR="00FC4353" w:rsidRDefault="00FC4353" w:rsidP="004177D4">
            <w:pPr>
              <w:rPr>
                <w:rFonts w:ascii="Conv_PFDINTEXTCONDPRO-MEDIUM" w:eastAsia="Conv_PFDINTEXTCONDPRO-MEDIUM" w:hAnsi="Conv_PFDINTEXTCONDPRO-MEDIUM" w:cs="Conv_PFDINTEXTCONDPRO-MEDIUM"/>
                <w:smallCaps/>
                <w:sz w:val="38"/>
                <w:szCs w:val="38"/>
              </w:rPr>
            </w:pPr>
            <w:r>
              <w:rPr>
                <w:rFonts w:ascii="Conv_PFDINTEXTCONDPRO-MEDIUM" w:eastAsia="Conv_PFDINTEXTCONDPRO-MEDIUM" w:hAnsi="Conv_PFDINTEXTCONDPRO-MEDIUM" w:cs="Conv_PFDINTEXTCONDPRO-MEDIUM"/>
                <w:smallCaps/>
                <w:sz w:val="38"/>
                <w:szCs w:val="38"/>
              </w:rPr>
              <w:t>УРЕГУЛИРОВАНИЕ И ОТСРОЧКА БАНКРОТСТВА</w:t>
            </w:r>
          </w:p>
        </w:tc>
        <w:tc>
          <w:tcPr>
            <w:tcW w:w="6521" w:type="dxa"/>
          </w:tcPr>
          <w:p w:rsidR="00FC4353" w:rsidRDefault="00FC4353" w:rsidP="004177D4">
            <w:pPr>
              <w:spacing w:after="30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Во исполнение поручения Правительства ФНС России с 16 марта полностью приостановила подачу заявлений о банкротстве до реализации поручений Президента Российской Федерации и Правительства Российской Федерации о введении моратория на банкротство.</w:t>
            </w:r>
          </w:p>
        </w:tc>
      </w:tr>
      <w:tr w:rsidR="00FC4353" w:rsidTr="004177D4">
        <w:tc>
          <w:tcPr>
            <w:tcW w:w="3403" w:type="dxa"/>
          </w:tcPr>
          <w:p w:rsidR="00FC4353" w:rsidRDefault="00FC4353" w:rsidP="004177D4">
            <w:pPr>
              <w:rPr>
                <w:rFonts w:ascii="Conv_PFDINTEXTCONDPRO-MEDIUM" w:eastAsia="Conv_PFDINTEXTCONDPRO-MEDIUM" w:hAnsi="Conv_PFDINTEXTCONDPRO-MEDIUM" w:cs="Conv_PFDINTEXTCONDPRO-MEDIUM"/>
                <w:smallCaps/>
                <w:sz w:val="38"/>
                <w:szCs w:val="38"/>
              </w:rPr>
            </w:pPr>
            <w:r>
              <w:rPr>
                <w:rFonts w:ascii="Conv_PFDINTEXTCONDPRO-MEDIUM" w:eastAsia="Conv_PFDINTEXTCONDPRO-MEDIUM" w:hAnsi="Conv_PFDINTEXTCONDPRO-MEDIUM" w:cs="Conv_PFDINTEXTCONDPRO-MEDIUM"/>
                <w:smallCaps/>
                <w:sz w:val="38"/>
                <w:szCs w:val="38"/>
              </w:rPr>
              <w:t>ПРИОСТАНОВЛЕНИЕ МЕР ВЗЫСКАНИЯ</w:t>
            </w:r>
          </w:p>
          <w:p w:rsidR="00FC4353" w:rsidRDefault="00FC4353" w:rsidP="004177D4">
            <w:pPr>
              <w:pStyle w:val="2"/>
              <w:spacing w:before="280" w:after="450"/>
              <w:rPr>
                <w:smallCaps/>
                <w:color w:val="000000"/>
                <w:sz w:val="38"/>
                <w:szCs w:val="38"/>
              </w:rPr>
            </w:pPr>
          </w:p>
        </w:tc>
        <w:tc>
          <w:tcPr>
            <w:tcW w:w="6521" w:type="dxa"/>
          </w:tcPr>
          <w:p w:rsidR="00FC4353" w:rsidRDefault="00FC4353" w:rsidP="004177D4">
            <w:pPr>
              <w:spacing w:after="30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Применение мер взыскания приостанавливается до 1 мая 2020 года:</w:t>
            </w:r>
          </w:p>
          <w:p w:rsidR="00FC4353" w:rsidRDefault="00FC4353" w:rsidP="00FC4353">
            <w:pPr>
              <w:numPr>
                <w:ilvl w:val="0"/>
                <w:numId w:val="4"/>
              </w:numPr>
              <w:spacing w:before="280" w:after="150" w:line="240" w:lineRule="auto"/>
              <w:ind w:left="0" w:firstLine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для налогоплательщиков, сведения о которых внесены в единый реестр субъектов малого и среднего предпринимательства; </w:t>
            </w:r>
          </w:p>
          <w:p w:rsidR="00FC4353" w:rsidRDefault="00FC4353" w:rsidP="00FC4353">
            <w:pPr>
              <w:numPr>
                <w:ilvl w:val="0"/>
                <w:numId w:val="4"/>
              </w:numPr>
              <w:spacing w:after="150" w:line="240" w:lineRule="auto"/>
              <w:ind w:left="0" w:firstLine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для налогоплательщиков, относящихся к отраслям туризма и авиаперевозок; </w:t>
            </w:r>
          </w:p>
          <w:p w:rsidR="00FC4353" w:rsidRDefault="00FC4353" w:rsidP="00FC4353">
            <w:pPr>
              <w:numPr>
                <w:ilvl w:val="0"/>
                <w:numId w:val="4"/>
              </w:numPr>
              <w:spacing w:after="150" w:line="240" w:lineRule="auto"/>
              <w:ind w:left="0" w:firstLine="0"/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для субъектов предпринимательства, работающих в сферах физической культуры, спорта, искусства, культуры и </w:t>
            </w:r>
            <w:r>
              <w:rPr>
                <w:rFonts w:ascii="Open Sans" w:eastAsia="Open Sans" w:hAnsi="Open Sans" w:cs="Open Sans"/>
                <w:sz w:val="24"/>
                <w:szCs w:val="24"/>
              </w:rPr>
              <w:lastRenderedPageBreak/>
              <w:t>кинематографии. </w:t>
            </w:r>
          </w:p>
          <w:p w:rsidR="00FC4353" w:rsidRDefault="00FC4353" w:rsidP="004177D4">
            <w:pPr>
              <w:spacing w:before="280" w:after="300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Для субъектов МСП также откладывается принятие решений о приостановлении операций по их счетам для обеспечения взыскания задолженности.</w:t>
            </w:r>
          </w:p>
          <w:p w:rsidR="00FC4353" w:rsidRDefault="00FC4353" w:rsidP="004177D4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Указанные меры Налоговая служба применит самостоятельно. Налогоплательщикам не требуется дополнительно подавать заявления.</w:t>
            </w:r>
          </w:p>
          <w:p w:rsidR="00FC4353" w:rsidRDefault="00FC4353" w:rsidP="004177D4">
            <w:pPr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Меры взыскания приостанавливаются с 25 марта 2020 года. Решения, принятые ранее, отозваны не будут. Суммы задолженности, которые </w:t>
            </w:r>
            <w:proofErr w:type="gramStart"/>
            <w:r>
              <w:rPr>
                <w:rFonts w:ascii="Open Sans" w:eastAsia="Open Sans" w:hAnsi="Open Sans" w:cs="Open Sans"/>
                <w:sz w:val="24"/>
                <w:szCs w:val="24"/>
              </w:rPr>
              <w:t>взысканы до этой даты относятся</w:t>
            </w:r>
            <w:proofErr w:type="gramEnd"/>
            <w:r>
              <w:rPr>
                <w:rFonts w:ascii="Open Sans" w:eastAsia="Open Sans" w:hAnsi="Open Sans" w:cs="Open Sans"/>
                <w:sz w:val="24"/>
                <w:szCs w:val="24"/>
              </w:rPr>
              <w:t xml:space="preserve"> к периодам 2019 года.</w:t>
            </w:r>
          </w:p>
        </w:tc>
      </w:tr>
      <w:tr w:rsidR="00FC4353" w:rsidTr="004177D4">
        <w:tc>
          <w:tcPr>
            <w:tcW w:w="9924" w:type="dxa"/>
            <w:gridSpan w:val="2"/>
          </w:tcPr>
          <w:p w:rsidR="00FC4353" w:rsidRDefault="00FC4353" w:rsidP="004177D4">
            <w:pPr>
              <w:spacing w:after="300"/>
              <w:jc w:val="center"/>
              <w:rPr>
                <w:rFonts w:ascii="Open Sans" w:eastAsia="Open Sans" w:hAnsi="Open Sans" w:cs="Open Sans"/>
                <w:color w:val="405965"/>
                <w:sz w:val="24"/>
                <w:szCs w:val="24"/>
              </w:rPr>
            </w:pPr>
          </w:p>
          <w:p w:rsidR="00FC4353" w:rsidRDefault="00FC4353" w:rsidP="004177D4">
            <w:pPr>
              <w:spacing w:before="280" w:after="300"/>
              <w:jc w:val="center"/>
              <w:rPr>
                <w:rFonts w:ascii="Open Sans" w:eastAsia="Open Sans" w:hAnsi="Open Sans" w:cs="Open Sans"/>
                <w:color w:val="405965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405965"/>
                <w:sz w:val="24"/>
                <w:szCs w:val="24"/>
              </w:rPr>
              <w:t xml:space="preserve">Со списками организаций и с ответами на актуальные вопросы налогоплательщиков можно ознакомиться </w:t>
            </w:r>
            <w:hyperlink r:id="rId12">
              <w:r>
                <w:rPr>
                  <w:rFonts w:ascii="Open Sans" w:eastAsia="Open Sans" w:hAnsi="Open Sans" w:cs="Open Sans"/>
                  <w:color w:val="0066B3"/>
                  <w:sz w:val="24"/>
                  <w:szCs w:val="24"/>
                </w:rPr>
                <w:t xml:space="preserve">в специальной рубрике </w:t>
              </w:r>
            </w:hyperlink>
            <w:r>
              <w:rPr>
                <w:rFonts w:ascii="Open Sans" w:eastAsia="Open Sans" w:hAnsi="Open Sans" w:cs="Open Sans"/>
                <w:color w:val="405965"/>
                <w:sz w:val="24"/>
                <w:szCs w:val="24"/>
              </w:rPr>
              <w:t>раздела «Задолженность» на сайте ФНС России.</w:t>
            </w:r>
          </w:p>
          <w:p w:rsidR="00FC4353" w:rsidRDefault="00FC4353" w:rsidP="0041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Open Sans" w:eastAsia="Open Sans" w:hAnsi="Open Sans" w:cs="Open Sans"/>
                <w:b/>
                <w:color w:val="FF0000"/>
                <w:sz w:val="28"/>
                <w:szCs w:val="28"/>
              </w:rPr>
            </w:pP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 xml:space="preserve">Подробнее на сайте </w:t>
            </w:r>
            <w:hyperlink r:id="rId13" w:anchor="t15">
              <w:r>
                <w:rPr>
                  <w:rFonts w:ascii="Times New Roman" w:eastAsia="Times New Roman" w:hAnsi="Times New Roman" w:cs="Times New Roman"/>
                  <w:color w:val="0066B3"/>
                  <w:sz w:val="24"/>
                  <w:szCs w:val="24"/>
                </w:rPr>
                <w:t>https://www.nalog.ru/rn23/business-support-2020/#t15</w:t>
              </w:r>
            </w:hyperlink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>, а также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Open Sans" w:eastAsia="Open Sans" w:hAnsi="Open Sans" w:cs="Open Sans"/>
                <w:color w:val="FF0000"/>
                <w:sz w:val="24"/>
                <w:szCs w:val="24"/>
              </w:rPr>
              <w:t xml:space="preserve">территориальном налоговом органе по месту учета, </w:t>
            </w:r>
            <w:r>
              <w:rPr>
                <w:rFonts w:ascii="Open Sans" w:eastAsia="Open Sans" w:hAnsi="Open Sans" w:cs="Open Sans"/>
                <w:b/>
                <w:color w:val="FF0000"/>
                <w:sz w:val="28"/>
                <w:szCs w:val="28"/>
              </w:rPr>
              <w:t>и по телефону горячей линии ФНС России 8-800-222-22-22.</w:t>
            </w:r>
          </w:p>
          <w:p w:rsidR="00FC4353" w:rsidRDefault="00FC4353" w:rsidP="00417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Open Sans" w:eastAsia="Open Sans" w:hAnsi="Open Sans" w:cs="Open Sans"/>
                <w:b/>
                <w:color w:val="FF0000"/>
                <w:sz w:val="28"/>
                <w:szCs w:val="28"/>
              </w:rPr>
            </w:pPr>
          </w:p>
        </w:tc>
      </w:tr>
    </w:tbl>
    <w:p w:rsidR="00CA66CA" w:rsidRDefault="00CA66CA">
      <w:bookmarkStart w:id="3" w:name="_GoBack"/>
      <w:bookmarkEnd w:id="3"/>
    </w:p>
    <w:sectPr w:rsidR="00CA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v_PFDINTEXTCONDPRO-MEDIUM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50FB"/>
    <w:multiLevelType w:val="multilevel"/>
    <w:tmpl w:val="FE3A7B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603B0710"/>
    <w:multiLevelType w:val="multilevel"/>
    <w:tmpl w:val="54049F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6FE44B69"/>
    <w:multiLevelType w:val="multilevel"/>
    <w:tmpl w:val="826E2B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C58162D"/>
    <w:multiLevelType w:val="multilevel"/>
    <w:tmpl w:val="FECED18E"/>
    <w:lvl w:ilvl="0">
      <w:start w:val="1"/>
      <w:numFmt w:val="decimal"/>
      <w:lvlText w:val="%1."/>
      <w:lvlJc w:val="left"/>
      <w:pPr>
        <w:ind w:left="400" w:hanging="4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B8"/>
    <w:rsid w:val="00275A9A"/>
    <w:rsid w:val="009624B8"/>
    <w:rsid w:val="00CA66CA"/>
    <w:rsid w:val="00D07A9B"/>
    <w:rsid w:val="00F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C4353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link w:val="20"/>
    <w:rsid w:val="00FC4353"/>
    <w:pPr>
      <w:spacing w:after="300" w:line="240" w:lineRule="auto"/>
      <w:outlineLvl w:val="1"/>
    </w:pPr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4353"/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FC4353"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2">
    <w:name w:val="heading 2"/>
    <w:basedOn w:val="a"/>
    <w:next w:val="a"/>
    <w:link w:val="20"/>
    <w:rsid w:val="00FC4353"/>
    <w:pPr>
      <w:spacing w:after="300" w:line="240" w:lineRule="auto"/>
      <w:outlineLvl w:val="1"/>
    </w:pPr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4353"/>
    <w:rPr>
      <w:rFonts w:ascii="Conv_PFDINTEXTCONDPRO-MEDIUM" w:eastAsia="Conv_PFDINTEXTCONDPRO-MEDIUM" w:hAnsi="Conv_PFDINTEXTCONDPRO-MEDIUM" w:cs="Conv_PFDINTEXTCONDPRO-MEDIUM"/>
      <w:color w:val="405965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" TargetMode="External"/><Relationship Id="rId13" Type="http://schemas.openxmlformats.org/officeDocument/2006/relationships/hyperlink" Target="https://www.nalog.ru/rn23/business-support-202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msp.nalog.ru/" TargetMode="External"/><Relationship Id="rId12" Type="http://schemas.openxmlformats.org/officeDocument/2006/relationships/hyperlink" Target="https://www.nalog.ru/rn23/taxation/debt/nc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sp.nalog.ru/" TargetMode="External"/><Relationship Id="rId11" Type="http://schemas.openxmlformats.org/officeDocument/2006/relationships/hyperlink" Target="https://www.nalog.ru/rn23/about_fts/docs_fts/9685945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334736/4209f933e6fb42facd46fa1dda1da80f6d85dc8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34736/d29da7b903e5cc351ee08a2f10414ccee3c12ba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6061</Characters>
  <Application>Microsoft Office Word</Application>
  <DocSecurity>0</DocSecurity>
  <Lines>50</Lines>
  <Paragraphs>14</Paragraphs>
  <ScaleCrop>false</ScaleCrop>
  <Company>System disc 7</Company>
  <LinksUpToDate>false</LinksUpToDate>
  <CharactersWithSpaces>7110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2</cp:revision>
  <dcterms:created xsi:type="dcterms:W3CDTF">2020-04-10T06:42:00Z</dcterms:created>
  <dcterms:modified xsi:type="dcterms:W3CDTF">2020-04-10T06:42:00Z</dcterms:modified>
</cp:coreProperties>
</file>